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8C0D1"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sz w:val="44"/>
          <w:szCs w:val="44"/>
        </w:rPr>
        <w:t>年第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一</w:t>
      </w:r>
      <w:r>
        <w:rPr>
          <w:rFonts w:hint="eastAsia" w:ascii="方正小标宋_GBK" w:eastAsia="方正小标宋_GBK"/>
          <w:sz w:val="44"/>
          <w:szCs w:val="44"/>
        </w:rPr>
        <w:t>批申请备案机构入围名单</w:t>
      </w:r>
    </w:p>
    <w:bookmarkEnd w:id="0"/>
    <w:p w14:paraId="254EC08F">
      <w:pPr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02B5831D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（排名不分先后）</w:t>
      </w:r>
    </w:p>
    <w:p w14:paraId="73F0962E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青岛元通投资有限公司</w:t>
      </w:r>
    </w:p>
    <w:p w14:paraId="5A667310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正合顺（青岛）投资发展有限公司</w:t>
      </w:r>
    </w:p>
    <w:p w14:paraId="45FA12F7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青岛拓达畅行投资有限公司</w:t>
      </w:r>
    </w:p>
    <w:p w14:paraId="31C1A575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青岛汇德润投资咨询管理有限公司</w:t>
      </w:r>
    </w:p>
    <w:p w14:paraId="57D2465F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山东融越网络小额贷款有限公司</w:t>
      </w:r>
    </w:p>
    <w:p w14:paraId="1BCEF887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青岛市人力资源集团有限公司</w:t>
      </w:r>
    </w:p>
    <w:p w14:paraId="74145D20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青岛惠丰金投投资中心（有限合伙）</w:t>
      </w:r>
    </w:p>
    <w:p w14:paraId="323CC4A3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lang w:val="en-US" w:eastAsia="zh-CN"/>
        </w:rPr>
        <w:t>青岛立辰汇融企业管理有限公司</w:t>
      </w:r>
    </w:p>
    <w:p w14:paraId="153CB3E3">
      <w:pPr>
        <w:spacing w:line="560" w:lineRule="exact"/>
        <w:jc w:val="center"/>
        <w:rPr>
          <w:rFonts w:hint="eastAsia"/>
        </w:rPr>
      </w:pPr>
    </w:p>
    <w:p w14:paraId="0D2EDD47"/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