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8F662">
      <w:pPr>
        <w:spacing w:after="0" w:line="560" w:lineRule="exact"/>
        <w:ind w:firstLine="560" w:firstLineChars="200"/>
        <w:rPr>
          <w:rFonts w:ascii="Times New Roman" w:hAnsi="Times New Roman" w:eastAsia="黑体" w:cs="Times New Roman"/>
          <w:bCs/>
          <w:sz w:val="28"/>
          <w:szCs w:val="28"/>
        </w:rPr>
      </w:pPr>
      <w:r>
        <w:rPr>
          <w:rFonts w:ascii="Times New Roman" w:hAnsi="Times New Roman" w:eastAsia="黑体" w:cs="Times New Roman"/>
          <w:bCs/>
          <w:sz w:val="28"/>
          <w:szCs w:val="28"/>
        </w:rPr>
        <w:t>附件1</w:t>
      </w:r>
    </w:p>
    <w:p w14:paraId="6B5D4A53">
      <w:pPr>
        <w:pStyle w:val="2"/>
        <w:spacing w:line="560" w:lineRule="exact"/>
        <w:jc w:val="center"/>
        <w:rPr>
          <w:rFonts w:ascii="Times New Roman" w:hAnsi="Times New Roman" w:eastAsia="方正小标宋_GBK" w:cs="Times New Roman"/>
          <w:b w:val="0"/>
          <w:bCs w:val="0"/>
        </w:rPr>
      </w:pPr>
      <w:r>
        <w:rPr>
          <w:rFonts w:ascii="Times New Roman" w:hAnsi="Times New Roman" w:eastAsia="方正小标宋_GBK" w:cs="Times New Roman"/>
          <w:b w:val="0"/>
          <w:bCs w:val="0"/>
        </w:rPr>
        <w:t>青岛财通融资租赁有限公司</w:t>
      </w:r>
    </w:p>
    <w:p w14:paraId="74F94F6E">
      <w:pPr>
        <w:pStyle w:val="2"/>
        <w:spacing w:line="560" w:lineRule="exact"/>
        <w:jc w:val="center"/>
        <w:rPr>
          <w:rFonts w:ascii="Times New Roman" w:hAnsi="Times New Roman" w:eastAsia="方正小标宋_GBK" w:cs="Times New Roman"/>
          <w:b w:val="0"/>
          <w:bCs w:val="0"/>
        </w:rPr>
      </w:pPr>
      <w:r>
        <w:rPr>
          <w:rFonts w:ascii="Times New Roman" w:hAnsi="Times New Roman" w:eastAsia="方正小标宋_GBK" w:cs="Times New Roman"/>
          <w:b w:val="0"/>
          <w:bCs w:val="0"/>
        </w:rPr>
        <w:t>数据查询软件项目需求</w:t>
      </w:r>
    </w:p>
    <w:p w14:paraId="1B6923C7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1.数据查询模块</w:t>
      </w:r>
    </w:p>
    <w:p w14:paraId="2B8E43AA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数据查询模块可以更加高效的查询金融市场数据，方便员工及时获取相关行业和企业的信息，更高效的开展公司业务，提升工作效率。</w:t>
      </w:r>
    </w:p>
    <w:p w14:paraId="0BC69758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2.城投地图模块</w:t>
      </w:r>
    </w:p>
    <w:p w14:paraId="5CA8C27D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可以一屏尽览发债主体和地域两个维度的城投研究工具，利用地图定位地区，联动城投公司、城投债与地域信息，多角度的获取债市市场数据。 </w:t>
      </w:r>
    </w:p>
    <w:p w14:paraId="513A261A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3.债券模块</w:t>
      </w:r>
    </w:p>
    <w:p w14:paraId="3ED4947A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该模块可以从市场的资讯，央行动态，资金市场，债市一二级，国内全球市场，区域城投债研究，单一发债企业的查询等，多维度整体的查看城投债的研究。</w:t>
      </w:r>
    </w:p>
    <w:p w14:paraId="7C50EEC6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4.行业研究分析模块</w:t>
      </w:r>
    </w:p>
    <w:p w14:paraId="47E515B2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软件需要能够查看具体行业的经济数据，宏观数据和行业报告，国内外的宏观行业政策信息，新闻信息，可以查看整个行业的上下游情况，全方位把握行业的产业链数据。</w:t>
      </w:r>
    </w:p>
    <w:p w14:paraId="3A7E1991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5.其他数据要求</w:t>
      </w:r>
    </w:p>
    <w:p w14:paraId="12A7A998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查看经纪商行情时可以批量查看担保人担保券的实时行情，科技创新公司债（科创债）有单独的概念板块。可以支持窗口查看最优、报价、排名以及利差，可以同时监控多个债券/板块实时行情，并且可以进行窗口联动和复制。</w:t>
      </w:r>
    </w:p>
    <w:p w14:paraId="4521DE7F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债券市场需要包含多元行情（经纪商行情，CFETS行情，交易所行情）。提供城投债成交统计界面，包含城投债（按评级）、城投债（按地域）、地方债成交统计界面。提供我的自选债个性化选债模块成交统计界面。</w:t>
      </w:r>
    </w:p>
    <w:p w14:paraId="3F618368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外汇模块提供外汇日历，外汇计算器包括利率平价计算器。</w:t>
      </w:r>
    </w:p>
    <w:p w14:paraId="1AFAFB62">
      <w:pPr>
        <w:spacing w:after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债市一级市场包括债市日历，新债上市首日偏离需标注每个主承具体包销份额。债券承销排行榜需要是业内公认的排行榜，需要根据真实独家的承销协议进行的汇总排名。</w:t>
      </w:r>
    </w:p>
    <w:p w14:paraId="3B9AE8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