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33E51" w14:textId="77777777" w:rsidR="004B4979" w:rsidRDefault="0003742A" w:rsidP="0003742A">
      <w:pPr>
        <w:jc w:val="center"/>
        <w:rPr>
          <w:rFonts w:ascii="华文宋体" w:eastAsia="华文宋体" w:hAnsi="华文宋体"/>
          <w:b/>
          <w:bCs/>
          <w:sz w:val="44"/>
          <w:szCs w:val="44"/>
        </w:rPr>
      </w:pPr>
      <w:r w:rsidRPr="004B4979">
        <w:rPr>
          <w:rFonts w:ascii="华文宋体" w:eastAsia="华文宋体" w:hAnsi="华文宋体" w:hint="eastAsia"/>
          <w:b/>
          <w:bCs/>
          <w:sz w:val="44"/>
          <w:szCs w:val="44"/>
        </w:rPr>
        <w:t>青岛城市照明有限公司LED灯具</w:t>
      </w:r>
    </w:p>
    <w:p w14:paraId="713912F7" w14:textId="0508F3F2" w:rsidR="0003742A" w:rsidRPr="004B4979" w:rsidRDefault="0003742A" w:rsidP="0003742A">
      <w:pPr>
        <w:jc w:val="center"/>
        <w:rPr>
          <w:rFonts w:ascii="华文宋体" w:eastAsia="华文宋体" w:hAnsi="华文宋体"/>
          <w:b/>
          <w:bCs/>
          <w:sz w:val="44"/>
          <w:szCs w:val="44"/>
        </w:rPr>
      </w:pPr>
      <w:r w:rsidRPr="004B4979">
        <w:rPr>
          <w:rFonts w:ascii="华文宋体" w:eastAsia="华文宋体" w:hAnsi="华文宋体" w:hint="eastAsia"/>
          <w:b/>
          <w:bCs/>
          <w:sz w:val="44"/>
          <w:szCs w:val="44"/>
        </w:rPr>
        <w:t>技术参数要求</w:t>
      </w:r>
    </w:p>
    <w:p w14:paraId="694FA604" w14:textId="77777777" w:rsidR="00FE4CBE" w:rsidRPr="00FE4CBE" w:rsidRDefault="00FE4CBE" w:rsidP="0003742A">
      <w:pPr>
        <w:jc w:val="center"/>
        <w:rPr>
          <w:rFonts w:ascii="华文宋体" w:eastAsia="华文宋体" w:hAnsi="华文宋体"/>
          <w:b/>
          <w:bCs/>
          <w:sz w:val="36"/>
          <w:szCs w:val="36"/>
        </w:rPr>
      </w:pPr>
    </w:p>
    <w:tbl>
      <w:tblPr>
        <w:tblW w:w="936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138"/>
        <w:gridCol w:w="222"/>
      </w:tblGrid>
      <w:tr w:rsidR="002339CC" w:rsidRPr="002339CC" w14:paraId="1FD232E4" w14:textId="77777777" w:rsidTr="0003742A">
        <w:trPr>
          <w:gridAfter w:val="1"/>
          <w:wAfter w:w="222" w:type="dxa"/>
          <w:trHeight w:val="624"/>
        </w:trPr>
        <w:tc>
          <w:tcPr>
            <w:tcW w:w="91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22996" w14:textId="77777777" w:rsidR="002339CC" w:rsidRPr="00FE4CBE" w:rsidRDefault="002339CC" w:rsidP="002339CC">
            <w:pPr>
              <w:widowControl/>
              <w:jc w:val="left"/>
              <w:rPr>
                <w:rFonts w:ascii="华文宋体" w:eastAsia="华文宋体" w:hAnsi="华文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FE4CBE">
              <w:rPr>
                <w:rFonts w:ascii="华文宋体" w:eastAsia="华文宋体" w:hAnsi="华文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灯具性能:</w:t>
            </w:r>
            <w:r w:rsidRPr="00FE4CBE">
              <w:rPr>
                <w:rFonts w:ascii="华文宋体" w:eastAsia="华文宋体" w:hAnsi="华文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根据LED路灯的发展情况，建议灯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珠采用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CREE（科瑞）、LUMILEDS（流明）、OSRAM（欧司朗）、Nichia（日亚）原厂封装芯片，光源显色指数Ra不低于70，光源色温3000K（偏差不大于3%）。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1）LED灯具：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a、灯具熔芯：灯具熔断器均采用2A熔丝；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b、光学性能：LED光源光效不小于140lm/W，灯具系统光效不小于130lm/W，色温为3000K，偏差不大于3%，显色指数不低于70,灯具功率因数≥0.95。眩光限制符合CJJ45-2015标准。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c、防护要求：灯具防护等级不低于IP66，防腐等级为WF2,光源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腔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防护等级不低于IP66，电气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腔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防护等级不低于IP56。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d、灯具寿命：工作温度为-15℃-55℃，储存温度为-40℃-85℃，初始光通量维持在额定光通量的90%～120%，灯具寿命不应低于25000h；LED正常工作3000h的光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通维持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率不应低于98%，在燃点6000h的光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通维持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率不应低于96%，寿命终止时其光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通维持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率不应低于70%；LED灯具正常工作一年的损坏率不应高于3%。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e.电源参考品牌：LED驱动电源推荐采用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英飞特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、明纬、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茂硕同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档次或以上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品牌且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必须通过国家强制性产品认证。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f.灯具要求：所有灯具均应设置防坠落装置，即用一根钢丝绳(安装在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灯具远杆端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)，将灯具上下盖、电器板与灯杆连接起来，钢丝绳将灯具整体拉住，不致掉落至路面。灯具采用铝压铸外壳，灯具颜色与灯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杆灯臂相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协调，且为一体化设计（不推荐使用</w:t>
            </w:r>
            <w:proofErr w:type="gramStart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球泡灯</w:t>
            </w:r>
            <w:proofErr w:type="gramEnd"/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），表面进口粉喷塑处理，抗紫外线辐射。LED灯具及光源的其他性能指标应符合《LED城市道路照明应用技术要求》（GB/T31832—2015）的相关标准。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g.产品可替换性：灯具维护需有替换性，便于后期维修</w:t>
            </w:r>
            <w:r w:rsidRPr="00FE4CBE">
              <w:rPr>
                <w:rFonts w:ascii="华文宋体" w:eastAsia="华文宋体" w:hAnsi="华文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br/>
              <w:t>灯具通过1000H盐雾测试，LED品牌模组 PC 透镜要能通过不低于5000h的耐紫外线（ UV 实验◇，试验后产品无明显损坏、LED品牌模组通过不低于1000h盐雾，交变（氯化钠溶液）实验，试验后金属表面应无明显变质和腐蚀，不影响正常工作。提供国家认可的第三方检测机构出具的检测报告.</w:t>
            </w:r>
          </w:p>
        </w:tc>
      </w:tr>
      <w:tr w:rsidR="002339CC" w:rsidRPr="002339CC" w14:paraId="537ED0D2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70EAC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BF03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2339CC" w:rsidRPr="002339CC" w14:paraId="42202443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DF65C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FABD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4FA5842F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C0511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3823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717B737F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CE760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21B9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7773EE73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ABF4E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EA07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64EB95CF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F9ECD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DD09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4E0FFDB2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F037C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8B5B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0F025BF6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4751F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0FD6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787D8569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EB053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56B0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1B7A0F65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4076E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CB39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6EFA0339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D5D53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0580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79C2474B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8823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65E2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1AC2C523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114B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2644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3D83E9CD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19FAA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0F54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5703B5D0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D209D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D0EB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2E3A8D33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2E2E0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7DF3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2F4E96CF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7A0AA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6A02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64448E60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C52FF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EBA3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609669CC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6E1A0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8E6B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3D1B6ECE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5A987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6188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6E055348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6AADA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5B1D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0DBC42CF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8D2A3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9D31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1554A6E8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BC928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C1B8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702A3CFC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DDE2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0B82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36E66939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289AF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B50D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35628D12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F7DB5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65F7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39CC" w:rsidRPr="002339CC" w14:paraId="78DBD065" w14:textId="77777777" w:rsidTr="0003742A">
        <w:trPr>
          <w:trHeight w:val="280"/>
        </w:trPr>
        <w:tc>
          <w:tcPr>
            <w:tcW w:w="91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ACB4D" w14:textId="77777777" w:rsidR="002339CC" w:rsidRPr="002339CC" w:rsidRDefault="002339CC" w:rsidP="002339C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01B2" w14:textId="77777777" w:rsidR="002339CC" w:rsidRPr="002339CC" w:rsidRDefault="002339CC" w:rsidP="002339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6310CE" w14:textId="77777777" w:rsidR="00504137" w:rsidRDefault="00504137"/>
    <w:sectPr w:rsidR="00504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2F"/>
    <w:rsid w:val="0003742A"/>
    <w:rsid w:val="002339CC"/>
    <w:rsid w:val="003A1AAB"/>
    <w:rsid w:val="004B4979"/>
    <w:rsid w:val="004D361F"/>
    <w:rsid w:val="00504137"/>
    <w:rsid w:val="00592A7B"/>
    <w:rsid w:val="0087542F"/>
    <w:rsid w:val="00C05DB4"/>
    <w:rsid w:val="00D24A64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A586"/>
  <w15:chartTrackingRefBased/>
  <w15:docId w15:val="{F46EA28F-194B-4187-85DC-77F1DB55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8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J L</cp:lastModifiedBy>
  <cp:revision>4</cp:revision>
  <dcterms:created xsi:type="dcterms:W3CDTF">2024-07-26T07:59:00Z</dcterms:created>
  <dcterms:modified xsi:type="dcterms:W3CDTF">2024-07-26T08:22:00Z</dcterms:modified>
</cp:coreProperties>
</file>