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B7828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jc w:val="both"/>
        <w:rPr>
          <w:rFonts w:ascii="黑体" w:hAnsi="黑体" w:eastAsia="黑体" w:cs="黑体"/>
          <w:color w:val="000000"/>
          <w:sz w:val="32"/>
          <w:szCs w:val="32"/>
          <w:highlight w:val="none"/>
          <w:lang w:eastAsia="zh-CN"/>
        </w:rPr>
      </w:pPr>
      <w:r>
        <w:rPr>
          <w:rFonts w:ascii="黑体" w:hAnsi="黑体" w:eastAsia="黑体" w:cs="黑体"/>
          <w:color w:val="000000"/>
          <w:sz w:val="32"/>
          <w:lang w:eastAsia="zh-CN"/>
        </w:rPr>
        <w:t>附件</w:t>
      </w:r>
    </w:p>
    <w:p w14:paraId="55BFE94A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jc w:val="center"/>
        <w:rPr>
          <w:lang w:eastAsia="zh-CN"/>
        </w:rPr>
      </w:pPr>
      <w:bookmarkStart w:id="0" w:name="_GoBack"/>
      <w:r>
        <w:rPr>
          <w:rFonts w:ascii="方正小标宋简体" w:hAnsi="方正小标宋简体" w:eastAsia="方正小标宋简体" w:cs="方正小标宋简体"/>
          <w:color w:val="000000"/>
          <w:sz w:val="44"/>
          <w:lang w:eastAsia="zh-CN"/>
        </w:rPr>
        <w:t>青岛市企业应急引导基金服务体系</w:t>
      </w:r>
    </w:p>
    <w:p w14:paraId="35E9CC7C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jc w:val="center"/>
        <w:rPr>
          <w:lang w:eastAsia="zh-CN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lang w:eastAsia="zh-CN"/>
        </w:rPr>
        <w:t>2024年第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lang w:val="en-US" w:eastAsia="zh-CN"/>
        </w:rPr>
        <w:t>二</w:t>
      </w:r>
      <w:r>
        <w:rPr>
          <w:rFonts w:ascii="方正小标宋简体" w:hAnsi="方正小标宋简体" w:eastAsia="方正小标宋简体" w:cs="方正小标宋简体"/>
          <w:color w:val="000000"/>
          <w:sz w:val="44"/>
          <w:lang w:eastAsia="zh-CN"/>
        </w:rPr>
        <w:t>批备案机构名单</w:t>
      </w:r>
    </w:p>
    <w:bookmarkEnd w:id="0"/>
    <w:p w14:paraId="73662E2E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ind w:firstLine="640"/>
        <w:jc w:val="both"/>
        <w:rPr>
          <w:lang w:eastAsia="zh-CN"/>
        </w:rPr>
      </w:pPr>
      <w:r>
        <w:rPr>
          <w:rFonts w:ascii="仿宋_GB2312" w:hAnsi="仿宋_GB2312" w:eastAsia="仿宋_GB2312" w:cs="仿宋_GB2312"/>
          <w:color w:val="000000"/>
          <w:sz w:val="32"/>
          <w:lang w:eastAsia="zh-CN"/>
        </w:rPr>
        <w:t> </w:t>
      </w:r>
    </w:p>
    <w:p w14:paraId="784AF72F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60" w:lineRule="exact"/>
        <w:ind w:firstLine="641"/>
        <w:rPr>
          <w:rFonts w:ascii="仿宋_GB2312" w:hAnsi="仿宋_GB2312" w:eastAsia="仿宋_GB2312"/>
          <w:lang w:eastAsia="zh-CN"/>
        </w:rPr>
      </w:pPr>
      <w:r>
        <w:rPr>
          <w:rFonts w:ascii="仿宋_GB2312" w:hAnsi="仿宋_GB2312" w:eastAsia="仿宋_GB2312" w:cs="仿宋_GB2312"/>
          <w:color w:val="000000"/>
          <w:sz w:val="32"/>
          <w:lang w:eastAsia="zh-CN"/>
        </w:rPr>
        <w:t>（排名不分先后）</w:t>
      </w:r>
    </w:p>
    <w:p w14:paraId="5F091628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60" w:lineRule="exact"/>
        <w:ind w:firstLine="641"/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青岛黄发小额贷款有限公司</w:t>
      </w:r>
    </w:p>
    <w:p w14:paraId="781E674B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60" w:lineRule="exact"/>
        <w:ind w:firstLine="641"/>
        <w:rPr>
          <w:rFonts w:ascii="仿宋_GB2312" w:hAnsi="仿宋_GB2312" w:eastAsia="仿宋_GB2312" w:cs="仿宋_GB2312"/>
          <w:color w:val="00000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青岛经联惠融企业服务有限公司</w:t>
      </w:r>
    </w:p>
    <w:p w14:paraId="4127AA3D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60" w:lineRule="exact"/>
        <w:ind w:firstLine="641"/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青岛财通普惠企业服务合伙企业（有限合伙）</w:t>
      </w:r>
    </w:p>
    <w:p w14:paraId="1459AFE5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60" w:lineRule="exact"/>
        <w:ind w:firstLine="641"/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青岛动车小镇锐安投资有限公司</w:t>
      </w:r>
    </w:p>
    <w:p w14:paraId="2A3DEABF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60" w:lineRule="exact"/>
        <w:ind w:firstLine="641"/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青岛诚开投资控股有限公司</w:t>
      </w:r>
    </w:p>
    <w:p w14:paraId="7F923A00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60" w:lineRule="exact"/>
        <w:ind w:firstLine="641"/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山东海容应急转贷产业投资有限公司</w:t>
      </w:r>
    </w:p>
    <w:p w14:paraId="10C6FBE9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60" w:lineRule="exact"/>
        <w:ind w:firstLine="641"/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山东甘雨林投资有限公司</w:t>
      </w:r>
    </w:p>
    <w:p w14:paraId="54B01485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60" w:lineRule="exact"/>
        <w:ind w:firstLine="641"/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长烽数智科技（山东）有限公司</w:t>
      </w:r>
    </w:p>
    <w:p w14:paraId="6F1FA204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