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ind w:left="0" w:right="0" w:firstLine="0"/>
        <w:jc w:val="both"/>
      </w:pPr>
      <w:bookmarkStart w:id="0" w:name="_GoBack"/>
      <w:r>
        <w:rPr>
          <w:rFonts w:ascii="黑体" w:hAnsi="黑体" w:eastAsia="黑体" w:cs="黑体"/>
          <w:color w:val="000000"/>
          <w:sz w:val="32"/>
        </w:rPr>
        <w:t>附件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0"/>
        <w:jc w:val="center"/>
      </w:pPr>
      <w:r>
        <w:rPr>
          <w:rFonts w:ascii="FZXiaoBiaoSong-B05S" w:hAnsi="FZXiaoBiaoSong-B05S" w:eastAsia="FZXiaoBiaoSong-B05S" w:cs="FZXiaoBiaoSong-B05S"/>
          <w:color w:val="000000"/>
          <w:sz w:val="44"/>
        </w:rPr>
        <w:t>青岛市企业应急引导基金服务体系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0"/>
        <w:jc w:val="center"/>
      </w:pPr>
      <w:r>
        <w:rPr>
          <w:rFonts w:ascii="FZXiaoBiaoSong-B05S" w:hAnsi="FZXiaoBiaoSong-B05S" w:eastAsia="FZXiaoBiaoSong-B05S" w:cs="FZXiaoBiaoSong-B05S"/>
          <w:color w:val="000000"/>
          <w:sz w:val="44"/>
        </w:rPr>
        <w:t>2024年第一批备案机构名单</w:t>
      </w:r>
    </w:p>
    <w:bookmarkEnd w:id="0"/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640"/>
        <w:jc w:val="both"/>
      </w:pPr>
      <w:r>
        <w:rPr>
          <w:rFonts w:ascii="FangSong_GB2312" w:hAnsi="FangSong_GB2312" w:eastAsia="FangSong_GB2312" w:cs="FangSong_GB2312"/>
          <w:color w:val="000000"/>
          <w:sz w:val="32"/>
        </w:rPr>
        <w:t> 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640"/>
        <w:jc w:val="both"/>
      </w:pPr>
      <w:r>
        <w:rPr>
          <w:rFonts w:ascii="FangSong_GB2312" w:hAnsi="FangSong_GB2312" w:eastAsia="FangSong_GB2312" w:cs="FangSong_GB2312"/>
          <w:color w:val="000000"/>
          <w:sz w:val="32"/>
        </w:rPr>
        <w:t>（排名不分先后）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640"/>
        <w:jc w:val="both"/>
      </w:pPr>
      <w:r>
        <w:rPr>
          <w:rFonts w:ascii="FangSong_GB2312" w:hAnsi="FangSong_GB2312" w:eastAsia="FangSong_GB2312" w:cs="FangSong_GB2312"/>
          <w:color w:val="000000"/>
          <w:sz w:val="32"/>
        </w:rPr>
        <w:t>山东国晟小额贷款有限责任公司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640"/>
        <w:jc w:val="both"/>
      </w:pPr>
      <w:r>
        <w:rPr>
          <w:rFonts w:ascii="FangSong_GB2312" w:hAnsi="FangSong_GB2312" w:eastAsia="FangSong_GB2312" w:cs="FangSong_GB2312"/>
          <w:color w:val="000000"/>
          <w:sz w:val="32"/>
        </w:rPr>
        <w:t>青岛市高新区高创科技小额贷款有限公司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640"/>
        <w:jc w:val="both"/>
      </w:pPr>
      <w:r>
        <w:rPr>
          <w:rFonts w:ascii="FangSong_GB2312" w:hAnsi="FangSong_GB2312" w:eastAsia="FangSong_GB2312" w:cs="FangSong_GB2312"/>
          <w:color w:val="000000"/>
          <w:sz w:val="32"/>
        </w:rPr>
        <w:t>青岛华财通投控股有限公司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640"/>
        <w:jc w:val="both"/>
      </w:pPr>
      <w:r>
        <w:rPr>
          <w:rFonts w:ascii="FangSong_GB2312" w:hAnsi="FangSong_GB2312" w:eastAsia="FangSong_GB2312" w:cs="FangSong_GB2312"/>
          <w:color w:val="000000"/>
          <w:sz w:val="32"/>
        </w:rPr>
        <w:t>青岛海籴投资有限公司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640"/>
        <w:jc w:val="both"/>
      </w:pPr>
      <w:r>
        <w:rPr>
          <w:rFonts w:ascii="FangSong_GB2312" w:hAnsi="FangSong_GB2312" w:eastAsia="FangSong_GB2312" w:cs="FangSong_GB2312"/>
          <w:color w:val="000000"/>
          <w:sz w:val="32"/>
        </w:rPr>
        <w:t>山东鼎诚聚产业投资有限公司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640"/>
        <w:jc w:val="both"/>
      </w:pPr>
      <w:r>
        <w:rPr>
          <w:rFonts w:ascii="FangSong_GB2312" w:hAnsi="FangSong_GB2312" w:eastAsia="FangSong_GB2312" w:cs="FangSong_GB2312"/>
          <w:color w:val="000000"/>
          <w:sz w:val="32"/>
        </w:rPr>
        <w:t>青岛君铂普惠投资合伙企业（有限合伙）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640"/>
        <w:jc w:val="both"/>
      </w:pPr>
      <w:r>
        <w:rPr>
          <w:rFonts w:ascii="FangSong_GB2312" w:hAnsi="FangSong_GB2312" w:eastAsia="FangSong_GB2312" w:cs="FangSong_GB2312"/>
          <w:color w:val="000000"/>
          <w:sz w:val="32"/>
        </w:rPr>
        <w:t>青岛青铁民间资本管理有限公司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640"/>
        <w:jc w:val="both"/>
      </w:pPr>
      <w:r>
        <w:rPr>
          <w:rFonts w:ascii="FangSong_GB2312" w:hAnsi="FangSong_GB2312" w:eastAsia="FangSong_GB2312" w:cs="FangSong_GB2312"/>
          <w:color w:val="000000"/>
          <w:sz w:val="32"/>
        </w:rPr>
        <w:t>青岛汇赋投资咨询管理合伙企业（有限合伙）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 w:line="559" w:lineRule="atLeast"/>
        <w:ind w:left="0" w:right="0" w:firstLine="640"/>
        <w:jc w:val="both"/>
      </w:pPr>
      <w:r>
        <w:rPr>
          <w:rFonts w:ascii="FangSong_GB2312" w:hAnsi="FangSong_GB2312" w:eastAsia="FangSong_GB2312" w:cs="FangSong_GB2312"/>
          <w:color w:val="000000"/>
          <w:sz w:val="32"/>
        </w:rPr>
        <w:t>青岛全永财投资有限公司</w:t>
      </w:r>
    </w:p>
    <w:p>
      <w:pPr>
        <w:rPr>
          <w:lang w:val="zh-Hans"/>
        </w:rPr>
      </w:pPr>
    </w:p>
    <w:p/>
    <w:sectPr>
      <w:pgSz w:w="11906" w:h="16838"/>
      <w:pgMar w:top="1134" w:right="850" w:bottom="1134" w:left="1701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iaoBiaoSong-B05S">
    <w:altName w:val="Verdana"/>
    <w:panose1 w:val="02010601030101010101"/>
    <w:charset w:val="00"/>
    <w:family w:val="auto"/>
    <w:pitch w:val="default"/>
    <w:sig w:usb0="00000000" w:usb1="00000000" w:usb2="00000000" w:usb3="00000000" w:csb0="00000000" w:csb1="00000000"/>
  </w:font>
  <w:font w:name="FangSong_GB2312">
    <w:altName w:val="仿宋"/>
    <w:panose1 w:val="02010609030101010101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